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85174B" w:rsidRPr="006C6662" w14:paraId="482D922E" w14:textId="77777777" w:rsidTr="003916CF">
        <w:tc>
          <w:tcPr>
            <w:tcW w:w="805" w:type="dxa"/>
          </w:tcPr>
          <w:p w14:paraId="1D53F81E" w14:textId="360E8B02" w:rsidR="007B567D" w:rsidRPr="006C6662" w:rsidRDefault="007B567D" w:rsidP="00992675">
            <w:pPr>
              <w:rPr>
                <w:rFonts w:ascii="Arial" w:hAnsi="Arial" w:cs="Arial"/>
                <w:sz w:val="20"/>
                <w:szCs w:val="20"/>
              </w:rPr>
            </w:pPr>
          </w:p>
        </w:tc>
        <w:tc>
          <w:tcPr>
            <w:tcW w:w="6922" w:type="dxa"/>
          </w:tcPr>
          <w:p w14:paraId="39625EFB" w14:textId="387361D0" w:rsidR="007B567D" w:rsidRPr="006C6662" w:rsidRDefault="005A7AC9" w:rsidP="00E03A34">
            <w:pPr>
              <w:pStyle w:val="Heading1"/>
            </w:pPr>
            <w:bookmarkStart w:id="0" w:name="_Toc184813174"/>
            <w:bookmarkStart w:id="1" w:name="_Toc184813190"/>
            <w:bookmarkStart w:id="2" w:name="_Toc184813394"/>
            <w:r w:rsidRPr="006C6662">
              <w:t>TIEKĖJŲ PAŠALINIMO PAGRIND</w:t>
            </w:r>
            <w:bookmarkEnd w:id="0"/>
            <w:bookmarkEnd w:id="1"/>
            <w:bookmarkEnd w:id="2"/>
            <w:r w:rsidR="00DD328C">
              <w:t>AI</w:t>
            </w:r>
          </w:p>
        </w:tc>
        <w:tc>
          <w:tcPr>
            <w:tcW w:w="6668" w:type="dxa"/>
          </w:tcPr>
          <w:p w14:paraId="0DE292FC" w14:textId="256772D6" w:rsidR="007B567D" w:rsidRPr="006C6662" w:rsidRDefault="00DD328C" w:rsidP="00D73317">
            <w:pPr>
              <w:spacing w:before="120" w:after="120"/>
              <w:jc w:val="center"/>
              <w:rPr>
                <w:rFonts w:ascii="Arial" w:hAnsi="Arial" w:cs="Arial"/>
                <w:sz w:val="20"/>
                <w:szCs w:val="20"/>
                <w:lang w:val="en-US"/>
              </w:rPr>
            </w:pPr>
            <w:r w:rsidRPr="002E5EB7">
              <w:rPr>
                <w:rFonts w:ascii="Arial" w:hAnsi="Arial" w:cs="Arial"/>
                <w:b/>
                <w:bCs/>
                <w:sz w:val="20"/>
                <w:szCs w:val="20"/>
              </w:rPr>
              <w:t>GROUNDS FOR EXCLUSION OF SUPPLIERS</w:t>
            </w:r>
          </w:p>
        </w:tc>
      </w:tr>
      <w:tr w:rsidR="00B73745" w:rsidRPr="006C6662" w14:paraId="0952D133" w14:textId="77777777" w:rsidTr="003916CF">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922" w:type="dxa"/>
          </w:tcPr>
          <w:p w14:paraId="630AE4A8" w14:textId="26BD426B" w:rsidR="00B73745" w:rsidRPr="006C6662" w:rsidRDefault="00804621" w:rsidP="005A31CF">
            <w:pPr>
              <w:pStyle w:val="Heading1"/>
              <w:jc w:val="both"/>
            </w:pPr>
            <w:r w:rsidRPr="00804621">
              <w:rPr>
                <w:b w:val="0"/>
                <w:bCs/>
              </w:rPr>
              <w:t xml:space="preserve">Tiekėjas (taip pat, kiekvienas tiekėjų grupės narys atskirai, jei </w:t>
            </w:r>
            <w:r w:rsidR="00B975CF">
              <w:rPr>
                <w:b w:val="0"/>
                <w:bCs/>
              </w:rPr>
              <w:t>P</w:t>
            </w:r>
            <w:r w:rsidRPr="00804621">
              <w:rPr>
                <w:b w:val="0"/>
                <w:bCs/>
              </w:rPr>
              <w:t>araišką teikia tiekėjų grupė), o tiekėjui remiantis ūkio subjektų pajėgumais pagal PĮ 62 straipsnį – kiekvienas ūkio subjektas atskirai, turi atitikti šiame priede nustatytus reikalavimus dėl pašalinimo pagrindų nebuvimo.</w:t>
            </w:r>
          </w:p>
        </w:tc>
        <w:tc>
          <w:tcPr>
            <w:tcW w:w="6668" w:type="dxa"/>
          </w:tcPr>
          <w:p w14:paraId="33F2EBF4" w14:textId="1C6BD2FF" w:rsidR="00B73745" w:rsidRPr="00804621" w:rsidRDefault="005A31CF" w:rsidP="005A31CF">
            <w:pPr>
              <w:spacing w:before="120" w:after="120"/>
              <w:jc w:val="both"/>
              <w:rPr>
                <w:rFonts w:ascii="Arial" w:hAnsi="Arial" w:cs="Arial"/>
                <w:b/>
                <w:bCs/>
                <w:sz w:val="20"/>
                <w:szCs w:val="20"/>
              </w:rPr>
            </w:pPr>
            <w:r w:rsidRPr="005A31CF">
              <w:rPr>
                <w:rFonts w:ascii="Arial" w:hAnsi="Arial" w:cs="Arial"/>
                <w:sz w:val="20"/>
                <w:szCs w:val="20"/>
                <w:lang w:val="en-US"/>
              </w:rPr>
              <w:t xml:space="preserve">The Supplier (also, each member of the group of suppliers separately, if the </w:t>
            </w:r>
            <w:r w:rsidR="00B975CF">
              <w:rPr>
                <w:rFonts w:ascii="Arial" w:hAnsi="Arial" w:cs="Arial"/>
                <w:sz w:val="20"/>
                <w:szCs w:val="20"/>
                <w:lang w:val="en-US"/>
              </w:rPr>
              <w:t>A</w:t>
            </w:r>
            <w:r w:rsidRPr="005A31CF">
              <w:rPr>
                <w:rFonts w:ascii="Arial" w:hAnsi="Arial" w:cs="Arial"/>
                <w:sz w:val="20"/>
                <w:szCs w:val="20"/>
                <w:lang w:val="en-US"/>
              </w:rPr>
              <w:t xml:space="preserve">pplication is submitted by a group of suppliers), and each economic entity separately, if the </w:t>
            </w:r>
            <w:r w:rsidR="00B975CF">
              <w:rPr>
                <w:rFonts w:ascii="Arial" w:hAnsi="Arial" w:cs="Arial"/>
                <w:sz w:val="20"/>
                <w:szCs w:val="20"/>
                <w:lang w:val="en-US"/>
              </w:rPr>
              <w:t>s</w:t>
            </w:r>
            <w:r w:rsidRPr="005A31CF">
              <w:rPr>
                <w:rFonts w:ascii="Arial" w:hAnsi="Arial" w:cs="Arial"/>
                <w:sz w:val="20"/>
                <w:szCs w:val="20"/>
                <w:lang w:val="en-US"/>
              </w:rPr>
              <w:t>upplier relies on the capacities of economic entities according to Article 62 of the LP, must meet the requirements set out in this Annex regarding the absence of grounds for exclusion</w:t>
            </w:r>
            <w:r>
              <w:rPr>
                <w:rFonts w:ascii="Arial" w:hAnsi="Arial" w:cs="Arial"/>
                <w:sz w:val="20"/>
                <w:szCs w:val="20"/>
                <w:lang w:val="en-US"/>
              </w:rPr>
              <w:t>.</w:t>
            </w:r>
          </w:p>
        </w:tc>
      </w:tr>
      <w:tr w:rsidR="00286D76" w:rsidRPr="006C6662" w14:paraId="2657928C" w14:textId="77777777" w:rsidTr="003916CF">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922" w:type="dxa"/>
          </w:tcPr>
          <w:p w14:paraId="4EBCEE6C" w14:textId="3F284AF3" w:rsidR="00286D76" w:rsidRPr="006C6662" w:rsidRDefault="00804621" w:rsidP="005A31CF">
            <w:pPr>
              <w:pStyle w:val="Heading1"/>
              <w:jc w:val="both"/>
            </w:pPr>
            <w:r w:rsidRPr="00804621">
              <w:rPr>
                <w:b w:val="0"/>
                <w:bCs/>
              </w:rPr>
              <w:t>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w:t>
            </w:r>
          </w:p>
        </w:tc>
        <w:tc>
          <w:tcPr>
            <w:tcW w:w="6668" w:type="dxa"/>
          </w:tcPr>
          <w:p w14:paraId="41138EBC" w14:textId="41D263A2" w:rsidR="00286D76" w:rsidRPr="006C6662" w:rsidRDefault="00B975CF" w:rsidP="005A31CF">
            <w:pPr>
              <w:spacing w:before="120" w:after="120"/>
              <w:jc w:val="both"/>
              <w:rPr>
                <w:rFonts w:ascii="Arial" w:hAnsi="Arial" w:cs="Arial"/>
                <w:b/>
                <w:bCs/>
                <w:sz w:val="20"/>
                <w:szCs w:val="20"/>
                <w:lang w:val="en-GB"/>
              </w:rPr>
            </w:pPr>
            <w:r w:rsidRPr="005A31CF">
              <w:rPr>
                <w:rFonts w:ascii="Arial" w:hAnsi="Arial" w:cs="Arial"/>
                <w:sz w:val="20"/>
                <w:szCs w:val="20"/>
                <w:lang w:val="en-US"/>
              </w:rPr>
              <w:t xml:space="preserve">Suppliers are not excluded from the </w:t>
            </w:r>
            <w:r w:rsidR="00DC6EE3">
              <w:rPr>
                <w:rFonts w:ascii="Arial" w:hAnsi="Arial" w:cs="Arial"/>
                <w:sz w:val="20"/>
                <w:szCs w:val="20"/>
                <w:lang w:val="en-US"/>
              </w:rPr>
              <w:t>S</w:t>
            </w:r>
            <w:r w:rsidRPr="005A31CF">
              <w:rPr>
                <w:rFonts w:ascii="Arial" w:hAnsi="Arial" w:cs="Arial"/>
                <w:sz w:val="20"/>
                <w:szCs w:val="20"/>
                <w:lang w:val="en-US"/>
              </w:rPr>
              <w:t xml:space="preserve">pecific </w:t>
            </w:r>
            <w:r w:rsidR="00DC6EE3">
              <w:rPr>
                <w:rFonts w:ascii="Arial" w:hAnsi="Arial" w:cs="Arial"/>
                <w:sz w:val="20"/>
                <w:szCs w:val="20"/>
                <w:lang w:val="en-US"/>
              </w:rPr>
              <w:t>P</w:t>
            </w:r>
            <w:r w:rsidRPr="005A31CF">
              <w:rPr>
                <w:rFonts w:ascii="Arial" w:hAnsi="Arial" w:cs="Arial"/>
                <w:sz w:val="20"/>
                <w:szCs w:val="20"/>
                <w:lang w:val="en-US"/>
              </w:rPr>
              <w:t xml:space="preserve">rocurement procedure if the conditions specified in Article 46 (10) of the LP are met (however, the </w:t>
            </w:r>
            <w:r w:rsidR="00DC6EE3">
              <w:rPr>
                <w:rFonts w:ascii="Arial" w:hAnsi="Arial" w:cs="Arial"/>
                <w:sz w:val="20"/>
                <w:szCs w:val="20"/>
                <w:lang w:val="en-US"/>
              </w:rPr>
              <w:t>s</w:t>
            </w:r>
            <w:r w:rsidRPr="005A31CF">
              <w:rPr>
                <w:rFonts w:ascii="Arial" w:hAnsi="Arial" w:cs="Arial"/>
                <w:sz w:val="20"/>
                <w:szCs w:val="20"/>
                <w:lang w:val="en-US"/>
              </w:rPr>
              <w:t>upplier cannot use the opportunity provided in Article 46 (10) of the LP in the cases specified in Articles 46 (11) and (12) of the LP. The provisions of Articles 46 (7) and (8) of the LP also apply)</w:t>
            </w:r>
            <w:r w:rsidR="00DC6EE3">
              <w:rPr>
                <w:rFonts w:ascii="Arial" w:hAnsi="Arial" w:cs="Arial"/>
                <w:sz w:val="20"/>
                <w:szCs w:val="20"/>
                <w:lang w:val="en-US"/>
              </w:rPr>
              <w:t>.</w:t>
            </w:r>
          </w:p>
        </w:tc>
      </w:tr>
      <w:tr w:rsidR="00286D76" w:rsidRPr="006C6662" w14:paraId="05F3A6F5" w14:textId="77777777" w:rsidTr="003916CF">
        <w:tc>
          <w:tcPr>
            <w:tcW w:w="805" w:type="dxa"/>
          </w:tcPr>
          <w:p w14:paraId="4F4C1F24" w14:textId="3B212D0B" w:rsidR="00286D76" w:rsidRDefault="00286D76" w:rsidP="00992675">
            <w:pPr>
              <w:rPr>
                <w:rFonts w:ascii="Arial" w:hAnsi="Arial" w:cs="Arial"/>
                <w:sz w:val="20"/>
                <w:szCs w:val="20"/>
              </w:rPr>
            </w:pPr>
            <w:r>
              <w:rPr>
                <w:rFonts w:ascii="Arial" w:hAnsi="Arial" w:cs="Arial"/>
                <w:sz w:val="20"/>
                <w:szCs w:val="20"/>
              </w:rPr>
              <w:t>3.</w:t>
            </w:r>
          </w:p>
        </w:tc>
        <w:tc>
          <w:tcPr>
            <w:tcW w:w="6922" w:type="dxa"/>
          </w:tcPr>
          <w:p w14:paraId="36538BCF" w14:textId="6C3D6205" w:rsidR="00286D76" w:rsidRPr="006C6662" w:rsidRDefault="00804621" w:rsidP="005A31CF">
            <w:pPr>
              <w:pStyle w:val="Heading1"/>
              <w:jc w:val="both"/>
            </w:pPr>
            <w:r w:rsidRPr="00804621">
              <w:rPr>
                <w:b w:val="0"/>
                <w:bCs/>
              </w:rPr>
              <w:t>Perkantysis subjektas netikrina fizinių asmenų (specialistų), kurių pajėgumais tiekėjas remiasi pagal PĮ 62 straipsnį ir kuriuos, pirkimo laimėjimo atveju, tiekėjas ketina įdarbinti, (kvazisubtiekėjų) pašalinimo pagrindų.</w:t>
            </w:r>
          </w:p>
        </w:tc>
        <w:tc>
          <w:tcPr>
            <w:tcW w:w="6668" w:type="dxa"/>
          </w:tcPr>
          <w:p w14:paraId="3E2754F9" w14:textId="4A9253EC" w:rsidR="00286D76" w:rsidRPr="00DC6EE3" w:rsidRDefault="005A31CF" w:rsidP="005A31CF">
            <w:pPr>
              <w:spacing w:before="120" w:after="120"/>
              <w:jc w:val="both"/>
              <w:rPr>
                <w:rFonts w:ascii="Arial" w:hAnsi="Arial" w:cs="Arial"/>
                <w:sz w:val="20"/>
                <w:szCs w:val="20"/>
                <w:lang w:val="en-US"/>
              </w:rPr>
            </w:pPr>
            <w:r w:rsidRPr="005A31CF">
              <w:rPr>
                <w:rFonts w:ascii="Arial" w:hAnsi="Arial" w:cs="Arial"/>
                <w:sz w:val="20"/>
                <w:szCs w:val="20"/>
                <w:lang w:val="en-US"/>
              </w:rPr>
              <w:t>The Contracting Entity does not check the grounds for exclusion of natural persons (specialists) on whose capacities the Supplier relies according to Article 62 of the LP and whom the Supplier intends to employ in case of winning the procurement (quasi-subcontractors)</w:t>
            </w:r>
            <w:r w:rsidR="00DC6EE3">
              <w:rPr>
                <w:rFonts w:ascii="Arial" w:hAnsi="Arial" w:cs="Arial"/>
                <w:sz w:val="20"/>
                <w:szCs w:val="20"/>
                <w:lang w:val="en-US"/>
              </w:rPr>
              <w:t>.</w:t>
            </w:r>
          </w:p>
        </w:tc>
      </w:tr>
      <w:tr w:rsidR="00286D76" w:rsidRPr="006C6662" w14:paraId="396791DB" w14:textId="77777777" w:rsidTr="003916CF">
        <w:tc>
          <w:tcPr>
            <w:tcW w:w="805" w:type="dxa"/>
          </w:tcPr>
          <w:p w14:paraId="66659447" w14:textId="110CA3E5" w:rsidR="00286D76" w:rsidRDefault="00286D76" w:rsidP="00992675">
            <w:pPr>
              <w:rPr>
                <w:rFonts w:ascii="Arial" w:hAnsi="Arial" w:cs="Arial"/>
                <w:sz w:val="20"/>
                <w:szCs w:val="20"/>
              </w:rPr>
            </w:pPr>
            <w:r>
              <w:rPr>
                <w:rFonts w:ascii="Arial" w:hAnsi="Arial" w:cs="Arial"/>
                <w:sz w:val="20"/>
                <w:szCs w:val="20"/>
              </w:rPr>
              <w:t>4.</w:t>
            </w:r>
          </w:p>
        </w:tc>
        <w:tc>
          <w:tcPr>
            <w:tcW w:w="6922" w:type="dxa"/>
          </w:tcPr>
          <w:p w14:paraId="61F66778" w14:textId="2969BECC" w:rsidR="00286D76" w:rsidRPr="00804621" w:rsidRDefault="00804621" w:rsidP="00804621">
            <w:pPr>
              <w:pStyle w:val="Heading1"/>
              <w:jc w:val="both"/>
              <w:rPr>
                <w:b w:val="0"/>
                <w:bCs/>
              </w:rPr>
            </w:pPr>
            <w:r w:rsidRPr="00804621">
              <w:rPr>
                <w:b w:val="0"/>
                <w:bCs/>
              </w:rPr>
              <w:t>Tiekėjų pašalinimo pagrindai ir jų nebuvimą patvirtinantys dokumentai:</w:t>
            </w:r>
          </w:p>
        </w:tc>
        <w:tc>
          <w:tcPr>
            <w:tcW w:w="6668" w:type="dxa"/>
          </w:tcPr>
          <w:p w14:paraId="44EC5437" w14:textId="206491EB" w:rsidR="00286D76" w:rsidRPr="00CC3D3B" w:rsidRDefault="00CC3D3B" w:rsidP="00CC3D3B">
            <w:pPr>
              <w:spacing w:before="120" w:after="120"/>
              <w:jc w:val="both"/>
              <w:rPr>
                <w:rFonts w:ascii="Arial" w:hAnsi="Arial" w:cs="Arial"/>
                <w:sz w:val="20"/>
                <w:szCs w:val="20"/>
                <w:lang w:val="en-US"/>
              </w:rPr>
            </w:pPr>
            <w:r w:rsidRPr="00CC3D3B">
              <w:rPr>
                <w:rFonts w:ascii="Arial" w:hAnsi="Arial" w:cs="Arial"/>
                <w:sz w:val="20"/>
                <w:szCs w:val="20"/>
                <w:lang w:val="en-US"/>
              </w:rPr>
              <w:t>Grounds for exclusion of suppliers and documents confirming their absence:</w:t>
            </w:r>
          </w:p>
        </w:tc>
      </w:tr>
    </w:tbl>
    <w:p w14:paraId="2420B448" w14:textId="77777777" w:rsidR="00804621" w:rsidRDefault="00804621" w:rsidP="00F35E60">
      <w:pPr>
        <w:spacing w:after="0"/>
        <w:ind w:right="-314"/>
        <w:jc w:val="right"/>
        <w:rPr>
          <w:rFonts w:ascii="Arial" w:hAnsi="Arial" w:cs="Arial"/>
          <w:color w:val="FF0000"/>
          <w:sz w:val="20"/>
          <w:szCs w:val="20"/>
        </w:rPr>
      </w:pPr>
    </w:p>
    <w:p w14:paraId="5C75D162" w14:textId="77777777" w:rsidR="00804621"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rPr>
        <w:t>1 lentelė</w:t>
      </w:r>
      <w:r w:rsidR="00804621" w:rsidRPr="00804621">
        <w:rPr>
          <w:rFonts w:ascii="Arial" w:hAnsi="Arial" w:cs="Arial"/>
          <w:color w:val="000000" w:themeColor="text1"/>
          <w:sz w:val="20"/>
          <w:szCs w:val="20"/>
        </w:rPr>
        <w:t xml:space="preserve"> </w:t>
      </w:r>
      <w:r w:rsidRPr="00804621">
        <w:rPr>
          <w:rFonts w:ascii="Arial" w:hAnsi="Arial" w:cs="Arial"/>
          <w:color w:val="000000" w:themeColor="text1"/>
          <w:sz w:val="20"/>
          <w:szCs w:val="20"/>
        </w:rPr>
        <w:t>/</w:t>
      </w:r>
    </w:p>
    <w:p w14:paraId="43251559" w14:textId="3E624ECD" w:rsidR="00CA496B"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2588EF34" w:rsidR="00A7781A" w:rsidRPr="00FC1D80" w:rsidRDefault="00A7781A" w:rsidP="007A568E">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8"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vMerge w:val="restart"/>
          </w:tcPr>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6C6662">
              <w:rPr>
                <w:rFonts w:ascii="Arial" w:hAnsi="Arial" w:cs="Arial"/>
                <w:color w:val="000000"/>
                <w:sz w:val="20"/>
                <w:szCs w:val="20"/>
                <w:lang w:val="en-GB"/>
              </w:rPr>
              <w:lastRenderedPageBreak/>
              <w:t xml:space="preserv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w:t>
            </w:r>
            <w:r w:rsidRPr="006C6662">
              <w:rPr>
                <w:rFonts w:ascii="Arial" w:hAnsi="Arial" w:cs="Arial"/>
                <w:color w:val="000000"/>
                <w:sz w:val="20"/>
                <w:szCs w:val="20"/>
              </w:rPr>
              <w:lastRenderedPageBreak/>
              <w:t>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w:t>
            </w:r>
            <w:r w:rsidRPr="006C6662">
              <w:rPr>
                <w:rFonts w:ascii="Arial" w:hAnsi="Arial" w:cs="Arial"/>
                <w:iCs/>
                <w:color w:val="000000"/>
                <w:sz w:val="20"/>
                <w:szCs w:val="20"/>
                <w:lang w:val="en-GB"/>
              </w:rPr>
              <w:lastRenderedPageBreak/>
              <w:t>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w:t>
            </w:r>
            <w:r w:rsidRPr="006C6662">
              <w:rPr>
                <w:rFonts w:ascii="Arial" w:hAnsi="Arial" w:cs="Arial"/>
                <w:iCs/>
                <w:color w:val="000000"/>
                <w:sz w:val="20"/>
                <w:szCs w:val="20"/>
              </w:rPr>
              <w:lastRenderedPageBreak/>
              <w:t>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w:t>
            </w:r>
            <w:r w:rsidRPr="006C6662">
              <w:rPr>
                <w:rFonts w:ascii="Arial" w:hAnsi="Arial" w:cs="Arial"/>
                <w:color w:val="000000" w:themeColor="text1"/>
                <w:sz w:val="20"/>
                <w:szCs w:val="20"/>
                <w:lang w:val="en-GB"/>
              </w:rPr>
              <w:lastRenderedPageBreak/>
              <w:t>procurement or concession award procedures in the last one year or other similar sanctions.</w:t>
            </w:r>
          </w:p>
        </w:tc>
        <w:tc>
          <w:tcPr>
            <w:tcW w:w="2835" w:type="dxa"/>
          </w:tcPr>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4FFDC206" w14:textId="77777777" w:rsidR="00A7781A" w:rsidRPr="006C6662" w:rsidRDefault="00A7781A" w:rsidP="001A02D9">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9"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lastRenderedPageBreak/>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16BDACD9" w:rsidR="007665F9" w:rsidRPr="00556A92" w:rsidRDefault="00A7781A"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0"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6C6662">
              <w:rPr>
                <w:rFonts w:ascii="Arial" w:hAnsi="Arial" w:cs="Arial"/>
                <w:iCs/>
                <w:color w:val="000000"/>
                <w:sz w:val="20"/>
                <w:szCs w:val="20"/>
              </w:rPr>
              <w:lastRenderedPageBreak/>
              <w:t xml:space="preserve">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w:t>
            </w:r>
            <w:r w:rsidRPr="006C6662">
              <w:rPr>
                <w:rFonts w:ascii="Arial" w:hAnsi="Arial" w:cs="Arial"/>
                <w:iCs/>
                <w:color w:val="000000" w:themeColor="text1"/>
                <w:sz w:val="20"/>
                <w:szCs w:val="20"/>
                <w:lang w:val="en-GB"/>
              </w:rPr>
              <w:lastRenderedPageBreak/>
              <w:t>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Default="00812016" w:rsidP="00812016">
            <w:pPr>
              <w:ind w:left="34"/>
              <w:jc w:val="both"/>
              <w:rPr>
                <w:rFonts w:ascii="Arial" w:hAnsi="Arial" w:cs="Arial"/>
                <w:color w:val="000000"/>
                <w:sz w:val="20"/>
                <w:szCs w:val="20"/>
              </w:rPr>
            </w:pPr>
          </w:p>
          <w:p w14:paraId="519F1737" w14:textId="77777777" w:rsidR="00C077B5" w:rsidRDefault="00C077B5" w:rsidP="00812016">
            <w:pPr>
              <w:ind w:left="34"/>
              <w:jc w:val="both"/>
              <w:rPr>
                <w:rFonts w:ascii="Arial" w:hAnsi="Arial" w:cs="Arial"/>
                <w:color w:val="000000"/>
                <w:sz w:val="20"/>
                <w:szCs w:val="20"/>
              </w:rPr>
            </w:pPr>
          </w:p>
          <w:p w14:paraId="420DF512" w14:textId="77777777" w:rsidR="00C077B5" w:rsidRPr="006C6662" w:rsidRDefault="00C077B5"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1C8D68B5" w:rsidR="00812016" w:rsidRPr="00C077B5" w:rsidRDefault="00812016" w:rsidP="00C077B5">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lastRenderedPageBreak/>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280C9BB6" w:rsidR="00812016" w:rsidRDefault="00C077B5" w:rsidP="00A462D5">
            <w:pPr>
              <w:ind w:left="34"/>
              <w:jc w:val="both"/>
              <w:rPr>
                <w:rFonts w:ascii="Arial" w:hAnsi="Arial" w:cs="Arial"/>
                <w:color w:val="000000"/>
                <w:sz w:val="20"/>
                <w:szCs w:val="20"/>
              </w:rPr>
            </w:pPr>
            <w:hyperlink r:id="rId12" w:history="1">
              <w:r w:rsidRPr="00F61DEE">
                <w:rPr>
                  <w:rStyle w:val="Hyperlink"/>
                  <w:rFonts w:ascii="Arial" w:hAnsi="Arial" w:cs="Arial"/>
                  <w:sz w:val="20"/>
                  <w:szCs w:val="20"/>
                </w:rPr>
                <w:t>https://vpt.lrv.lt/lt/pasalinimo-pagrindai-1/nepatikimu-koncesininku-sarasas-1/nepatikimu-koncesininku-sarasas/</w:t>
              </w:r>
            </w:hyperlink>
          </w:p>
          <w:p w14:paraId="47404728" w14:textId="77777777" w:rsidR="00C077B5" w:rsidRPr="00A4533A" w:rsidRDefault="00C077B5" w:rsidP="00A462D5">
            <w:pPr>
              <w:ind w:left="34"/>
              <w:jc w:val="both"/>
              <w:rPr>
                <w:rFonts w:ascii="Arial" w:hAnsi="Arial" w:cs="Arial"/>
                <w:color w:val="000000"/>
                <w:sz w:val="20"/>
                <w:szCs w:val="20"/>
              </w:rPr>
            </w:pP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3"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lastRenderedPageBreak/>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4"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6C6662" w:rsidRDefault="00671288" w:rsidP="00671288">
            <w:pPr>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2C78A2CE" w:rsidR="00671288" w:rsidRPr="00556A92" w:rsidRDefault="00671288"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5"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6"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lastRenderedPageBreak/>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Default="008F1F04" w:rsidP="008F1F04">
            <w:pPr>
              <w:jc w:val="both"/>
              <w:rPr>
                <w:rFonts w:ascii="Arial" w:hAnsi="Arial" w:cs="Arial"/>
                <w:color w:val="000000"/>
                <w:sz w:val="20"/>
                <w:szCs w:val="20"/>
              </w:rPr>
            </w:pPr>
          </w:p>
          <w:p w14:paraId="63FB0EB8" w14:textId="77777777" w:rsidR="003244EC" w:rsidRPr="008F1F04" w:rsidRDefault="003244EC" w:rsidP="008F1F04">
            <w:pPr>
              <w:jc w:val="both"/>
              <w:rPr>
                <w:rFonts w:ascii="Arial" w:hAnsi="Arial" w:cs="Arial"/>
                <w:color w:val="000000"/>
                <w:sz w:val="20"/>
                <w:szCs w:val="20"/>
              </w:rPr>
            </w:pPr>
          </w:p>
          <w:p w14:paraId="6AD57579" w14:textId="77777777" w:rsidR="008F1F04" w:rsidRPr="008F1F04" w:rsidRDefault="008F1F04" w:rsidP="003244EC">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18"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Default="008F1F04" w:rsidP="008F1F04">
            <w:pPr>
              <w:ind w:left="34"/>
              <w:jc w:val="both"/>
              <w:rPr>
                <w:rFonts w:ascii="Arial" w:hAnsi="Arial" w:cs="Arial"/>
                <w:sz w:val="20"/>
                <w:szCs w:val="20"/>
              </w:rPr>
            </w:pPr>
          </w:p>
          <w:p w14:paraId="6D5FD210" w14:textId="77777777" w:rsidR="006364DD" w:rsidRDefault="006364DD" w:rsidP="008F1F04">
            <w:pPr>
              <w:ind w:left="34"/>
              <w:jc w:val="both"/>
              <w:rPr>
                <w:rFonts w:ascii="Arial" w:hAnsi="Arial" w:cs="Arial"/>
                <w:sz w:val="20"/>
                <w:szCs w:val="20"/>
              </w:rPr>
            </w:pPr>
          </w:p>
          <w:p w14:paraId="023AFBCB" w14:textId="77777777" w:rsidR="006364DD" w:rsidRPr="008F1F04" w:rsidRDefault="006364DD"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6C6270EC" w:rsidR="008F1F04" w:rsidRPr="006364DD" w:rsidRDefault="008F1F04" w:rsidP="006364DD">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19"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tc>
        <w:tc>
          <w:tcPr>
            <w:tcW w:w="2660" w:type="dxa"/>
          </w:tcPr>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lastRenderedPageBreak/>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w:t>
              </w:r>
              <w:r w:rsidRPr="008F1F04">
                <w:rPr>
                  <w:rStyle w:val="Hyperlink"/>
                  <w:rFonts w:ascii="Arial" w:hAnsi="Arial" w:cs="Arial"/>
                  <w:sz w:val="20"/>
                  <w:szCs w:val="20"/>
                  <w:u w:val="single"/>
                </w:rPr>
                <w:lastRenderedPageBreak/>
                <w:t>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2594279"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r w:rsidR="006364DD">
              <w:rPr>
                <w:rFonts w:ascii="Arial" w:hAnsi="Arial" w:cs="Arial"/>
                <w:color w:val="000000"/>
                <w:sz w:val="20"/>
                <w:szCs w:val="20"/>
              </w:rPr>
              <w:t>.</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shd w:val="clear" w:color="auto" w:fill="auto"/>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7AD5F0A7" w14:textId="77777777" w:rsidR="002459FB" w:rsidRDefault="002459FB"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shd w:val="clear" w:color="auto" w:fill="auto"/>
          </w:tcPr>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Default="00EC584F" w:rsidP="00EC584F">
      <w:pPr>
        <w:pStyle w:val="ListParagraph"/>
        <w:rPr>
          <w:rFonts w:ascii="Arial" w:hAnsi="Arial" w:cs="Arial"/>
          <w:i/>
          <w:color w:val="FF0000"/>
          <w:sz w:val="20"/>
          <w:szCs w:val="20"/>
        </w:rPr>
      </w:pPr>
    </w:p>
    <w:p w14:paraId="5650BED6" w14:textId="77777777" w:rsidR="00A267A1" w:rsidRDefault="00A267A1" w:rsidP="00EC584F">
      <w:pPr>
        <w:pStyle w:val="ListParagraph"/>
        <w:rPr>
          <w:rFonts w:ascii="Arial" w:hAnsi="Arial" w:cs="Arial"/>
          <w:i/>
          <w:color w:val="FF0000"/>
          <w:sz w:val="20"/>
          <w:szCs w:val="20"/>
        </w:rPr>
      </w:pPr>
    </w:p>
    <w:p w14:paraId="70DC8E2D" w14:textId="77777777" w:rsidR="00A267A1" w:rsidRPr="00AB7A4C" w:rsidRDefault="00A267A1" w:rsidP="00A267A1">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337A2B51" w14:textId="77777777" w:rsidR="00A267A1" w:rsidRPr="006C6662" w:rsidRDefault="00A267A1" w:rsidP="00EC584F">
      <w:pPr>
        <w:pStyle w:val="ListParagraph"/>
        <w:rPr>
          <w:rFonts w:ascii="Arial" w:hAnsi="Arial" w:cs="Arial"/>
          <w:i/>
          <w:color w:val="FF0000"/>
          <w:sz w:val="20"/>
          <w:szCs w:val="20"/>
        </w:rPr>
      </w:pPr>
    </w:p>
    <w:sectPr w:rsidR="00A267A1" w:rsidRPr="006C6662" w:rsidSect="00B328DC">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A86B" w14:textId="77777777" w:rsidR="00C60A31" w:rsidRDefault="00C60A31" w:rsidP="00D06375">
      <w:pPr>
        <w:spacing w:after="0" w:line="240" w:lineRule="auto"/>
      </w:pPr>
      <w:r>
        <w:separator/>
      </w:r>
    </w:p>
  </w:endnote>
  <w:endnote w:type="continuationSeparator" w:id="0">
    <w:p w14:paraId="26A632AE" w14:textId="77777777" w:rsidR="00C60A31" w:rsidRDefault="00C60A31"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4ED6E" w14:textId="77777777" w:rsidR="00C60A31" w:rsidRDefault="00C60A31" w:rsidP="00D06375">
      <w:pPr>
        <w:spacing w:after="0" w:line="240" w:lineRule="auto"/>
      </w:pPr>
      <w:r>
        <w:separator/>
      </w:r>
    </w:p>
  </w:footnote>
  <w:footnote w:type="continuationSeparator" w:id="0">
    <w:p w14:paraId="0E2F33B1" w14:textId="77777777" w:rsidR="00C60A31" w:rsidRDefault="00C60A31"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77777777"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 </w:t>
    </w:r>
  </w:p>
  <w:p w14:paraId="622A770E" w14:textId="677E86EA"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Annex 1 to the Procurement conditions „</w:t>
    </w:r>
    <w:r w:rsidR="00045214" w:rsidRPr="009945AD">
      <w:rPr>
        <w:rFonts w:ascii="Arial" w:hAnsi="Arial" w:cs="Arial"/>
        <w:color w:val="000000" w:themeColor="text1"/>
        <w:sz w:val="20"/>
        <w:szCs w:val="20"/>
        <w:lang w:val="en-US"/>
      </w:rPr>
      <w:t>Grounds for Exclusion of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64DD"/>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D5818"/>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AF8"/>
    <w:rsid w:val="009509BF"/>
    <w:rsid w:val="00952466"/>
    <w:rsid w:val="009552F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3A9A"/>
    <w:rsid w:val="00CC3D3B"/>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2.xml"/><Relationship Id="rId28" Type="http://schemas.openxmlformats.org/officeDocument/2006/relationships/customXml" Target="../customXml/item4.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1.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20441292-47AC-4D6A-AFA7-DD0ED25E7F57}"/>
</file>

<file path=customXml/itemProps3.xml><?xml version="1.0" encoding="utf-8"?>
<ds:datastoreItem xmlns:ds="http://schemas.openxmlformats.org/officeDocument/2006/customXml" ds:itemID="{E72F6E38-9C5A-4278-A99F-08CF565E8038}"/>
</file>

<file path=customXml/itemProps4.xml><?xml version="1.0" encoding="utf-8"?>
<ds:datastoreItem xmlns:ds="http://schemas.openxmlformats.org/officeDocument/2006/customXml" ds:itemID="{A5C28184-BD55-4BF9-BD86-4D58EB121000}"/>
</file>

<file path=docProps/app.xml><?xml version="1.0" encoding="utf-8"?>
<Properties xmlns="http://schemas.openxmlformats.org/officeDocument/2006/extended-properties" xmlns:vt="http://schemas.openxmlformats.org/officeDocument/2006/docPropsVTypes">
  <Template>Normal</Template>
  <TotalTime>22</TotalTime>
  <Pages>6</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31</cp:revision>
  <dcterms:created xsi:type="dcterms:W3CDTF">2025-01-29T14:54:00Z</dcterms:created>
  <dcterms:modified xsi:type="dcterms:W3CDTF">2025-04-28T06:11:00Z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